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CKicker"/>
      </w:pPr>
      <w:r>
        <w:t>DOKUMENT · KAPITEL 1</w:t>
      </w:r>
    </w:p>
    <w:p>
      <w:pPr>
        <w:pStyle w:val="PCH1"/>
      </w:pPr>
      <w:r>
        <w:t>Die richtige Frage kommt zuerst.</w:t>
      </w:r>
    </w:p>
    <w:p>
      <w:pPr>
        <w:pStyle w:val="PCLead"/>
      </w:pPr>
      <w:r>
        <w:t>Kurzer Untertitel oder Executive-Summary. Ein bis zwei Sätze, die den Kontext des Dokuments in einer Zeile klar machen — konkret, ohne Buzzwords.</w:t>
      </w:r>
    </w:p>
    <w:p>
      <w:pPr>
        <w:pStyle w:val="PCH2"/>
      </w:pPr>
      <w:r>
        <w:t>Ausgangslage</w:t>
      </w:r>
    </w:p>
    <w:p>
      <w:pPr>
        <w:pStyle w:val="PCBody"/>
      </w:pPr>
      <w:r>
        <w:t>Beschreibe hier das Problem, den Anlass oder die Situation. Kurze Sätze. Absätze mit Luft. Konkrete Zahlen und Beispiele statt allgemeiner Adjektive.</w:t>
      </w:r>
    </w:p>
    <w:p>
      <w:pPr>
        <w:pStyle w:val="PCBody"/>
      </w:pPr>
      <w:r>
        <w:t>Zweiter Absatz, falls nötig. Halte den Gedankengang fokussiert — jeder Absatz ein Argument.</w:t>
      </w:r>
    </w:p>
    <w:p>
      <w:pPr>
        <w:pStyle w:val="PCCallout"/>
      </w:pPr>
      <w:r>
        <w:t>Kernaussage</w:t>
      </w:r>
    </w:p>
    <w:p>
      <w:pPr>
        <w:pStyle w:val="PCBody"/>
      </w:pPr>
      <w:r>
        <w:t>Ein orange-formatierter Callout-Absatz hebt eine zentrale Aussage hervor. Nutze das sparsam — max. ein Callout pro Sektion.</w:t>
      </w:r>
    </w:p>
    <w:p>
      <w:pPr>
        <w:pStyle w:val="PCH2"/>
      </w:pPr>
      <w:r>
        <w:t>Was wir vorschlagen</w:t>
      </w:r>
    </w:p>
    <w:p>
      <w:pPr>
        <w:pStyle w:val="PCH3"/>
      </w:pPr>
      <w:r>
        <w:t>1. Erster Schritt</w:t>
      </w:r>
    </w:p>
    <w:p>
      <w:pPr>
        <w:pStyle w:val="PCBody"/>
      </w:pPr>
      <w:r>
        <w:t>Beschreibung des ersten Schrittes. Konkret, überprüfbar, mit einem klaren Ergebnis.</w:t>
      </w:r>
    </w:p>
    <w:p>
      <w:pPr>
        <w:pStyle w:val="PCH3"/>
      </w:pPr>
      <w:r>
        <w:t>2. Zweiter Schritt</w:t>
      </w:r>
    </w:p>
    <w:p>
      <w:pPr>
        <w:pStyle w:val="PCBody"/>
      </w:pPr>
      <w:r>
        <w:t>Beschreibung des zweiten Schrittes.</w:t>
      </w:r>
    </w:p>
    <w:p>
      <w:pPr>
        <w:pStyle w:val="PCBody"/>
      </w:pPr>
      <w:r>
        <w:t>Was drin ist:</w:t>
      </w:r>
    </w:p>
    <w:p>
      <w:pPr>
        <w:pStyle w:val="ListBullet"/>
      </w:pPr>
      <w:r>
        <w:rPr>
          <w:rFonts w:ascii="Plus Jakarta Sans" w:hAnsi="Plus Jakarta Sans"/>
          <w:color w:val="0F172A"/>
          <w:sz w:val="22"/>
        </w:rPr>
        <w:t>DSGVO-konforme Umsetzung</w:t>
      </w:r>
    </w:p>
    <w:p>
      <w:pPr>
        <w:pStyle w:val="ListBullet"/>
      </w:pPr>
      <w:r>
        <w:rPr>
          <w:rFonts w:ascii="Plus Jakarta Sans" w:hAnsi="Plus Jakarta Sans"/>
          <w:color w:val="0F172A"/>
          <w:sz w:val="22"/>
        </w:rPr>
        <w:t>On-Premise-Betrieb möglich</w:t>
      </w:r>
    </w:p>
    <w:p>
      <w:pPr>
        <w:pStyle w:val="ListBullet"/>
      </w:pPr>
      <w:r>
        <w:rPr>
          <w:rFonts w:ascii="Plus Jakarta Sans" w:hAnsi="Plus Jakarta Sans"/>
          <w:color w:val="0F172A"/>
          <w:sz w:val="22"/>
        </w:rPr>
        <w:t>EU AI Act ready</w:t>
      </w:r>
    </w:p>
    <w:p>
      <w:pPr>
        <w:pStyle w:val="ListBullet"/>
      </w:pPr>
      <w:r>
        <w:rPr>
          <w:rFonts w:ascii="Plus Jakarta Sans" w:hAnsi="Plus Jakarta Sans"/>
          <w:color w:val="0F172A"/>
          <w:sz w:val="22"/>
        </w:rPr>
        <w:t>Vollständiger Audit-Trail</w:t>
      </w:r>
    </w:p>
    <w:p>
      <w:pPr>
        <w:pStyle w:val="PCH2"/>
      </w:pPr>
      <w:r>
        <w:t>Warum ProcessCube</w:t>
      </w:r>
    </w:p>
    <w:p>
      <w:pPr>
        <w:pStyle w:val="PCBody"/>
      </w:pPr>
      <w:r>
        <w:t>ProcessCube verbindet KI mit echten Unternehmensprozessen — nicht als Blackbox, sondern nachvollziehbar, auditierbar und unter deiner Kontrolle.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071"/>
      </w:tblGrid>
      <w:tr>
        <w:tc>
          <w:tcPr>
            <w:tcW w:type="dxa" w:w="9406"/>
            <w:tcBorders>
              <w:left w:val="single" w:sz="32" w:space="0" w:color="F8A923"/>
              <w:right w:val="single" w:sz="4" w:space="0" w:color="E2E8F0"/>
              <w:top w:val="single" w:sz="4" w:space="0" w:color="E2E8F0"/>
              <w:bottom w:val="single" w:sz="4" w:space="0" w:color="E2E8F0"/>
            </w:tcBorders>
            <w:shd w:val="clear" w:fill="FAFAFA"/>
          </w:tcPr>
          <w:p>
            <w:pPr>
              <w:spacing w:before="120" w:after="120"/>
            </w:pPr>
            <w:r>
              <w:rPr>
                <w:rFonts w:ascii="Barlow Condensed" w:hAnsi="Barlow Condensed"/>
                <w:b/>
                <w:color w:val="0F172A"/>
                <w:sz w:val="36"/>
              </w:rPr>
              <w:t>„Die richtige Frage kommt zuerst — und danach die Klarheit.“</w:t>
            </w:r>
          </w:p>
          <w:p>
            <w:pPr>
              <w:spacing w:before="0"/>
            </w:pPr>
            <w:r>
              <w:rPr>
                <w:rFonts w:ascii="Plus Jakarta Sans" w:hAnsi="Plus Jakarta Sans"/>
                <w:color w:val="475569"/>
                <w:sz w:val="18"/>
              </w:rPr>
              <w:t>ProcessCube · www.processcube.io</w:t>
            </w:r>
          </w:p>
        </w:tc>
      </w:tr>
    </w:tbl>
    <w:p>
      <w:pPr>
        <w:pStyle w:val="PCBody"/>
      </w:pPr>
    </w:p>
    <w:p>
      <w:pPr>
        <w:spacing w:before="240"/>
      </w:pPr>
      <w:r>
        <w:rPr>
          <w:rFonts w:ascii="Plus Jakarta Sans" w:hAnsi="Plus Jakarta Sans"/>
          <w:b/>
          <w:color w:val="F8A923"/>
          <w:sz w:val="20"/>
        </w:rPr>
        <w:t>✓ DSGVO-konform     ✓ On-Premise möglich     ✓ EU AI Act ready     ✓ Vollständiger Audit-Trail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402"/>
      <w:gridCol w:w="3402"/>
      <w:gridCol w:w="2268"/>
    </w:tblGrid>
    <w:tr>
      <w:tc>
        <w:tcPr>
          <w:tcW w:type="dxa" w:w="3024"/>
        </w:tcPr>
        <w:p>
          <w:pPr>
            <w:jc w:val="left"/>
          </w:pPr>
          <w:r>
            <w:rPr>
              <w:rFonts w:ascii="Plus Jakarta Sans" w:hAnsi="Plus Jakarta Sans"/>
              <w:color w:val="475569"/>
              <w:sz w:val="16"/>
            </w:rPr>
            <w:t>ProcessCube UG (haftungsbeschränkt) i.G.</w:t>
          </w:r>
        </w:p>
      </w:tc>
      <w:tc>
        <w:tcPr>
          <w:tcW w:type="dxa" w:w="3024"/>
        </w:tcPr>
        <w:p>
          <w:pPr>
            <w:jc w:val="center"/>
          </w:pPr>
          <w:r>
            <w:rPr>
              <w:rFonts w:ascii="Plus Jakarta Sans" w:hAnsi="Plus Jakarta Sans"/>
              <w:color w:val="475569"/>
              <w:sz w:val="16"/>
            </w:rPr>
            <w:t>www.processcube.io</w:t>
          </w:r>
        </w:p>
      </w:tc>
      <w:tc>
        <w:tcPr>
          <w:tcW w:type="dxa" w:w="3024"/>
        </w:tcPr>
        <w:p>
          <w:pPr>
            <w:jc w:val="right"/>
          </w:pPr>
          <w:r>
            <w:rPr>
              <w:rFonts w:ascii="Plus Jakarta Sans" w:hAnsi="Plus Jakarta Sans"/>
              <w:color w:val="475569"/>
              <w:sz w:val="16"/>
            </w:rPr>
            <w:t xml:space="preserve">Seite </w:t>
          </w:r>
          <w:r>
            <w:rPr>
              <w:rFonts w:ascii="Plus Jakarta Sans" w:hAnsi="Plus Jakarta Sans"/>
              <w:color w:val="475569"/>
              <w:sz w:val="16"/>
            </w:rPr>
            <w:fldChar w:fldCharType="begin"/>
            <w:instrText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535"/>
      <w:gridCol w:w="4535"/>
    </w:tblGrid>
    <w:tr>
      <w:tc>
        <w:tcPr>
          <w:tcW w:type="dxa" w:w="4535"/>
        </w:tcPr>
        <w:p>
          <w:r/>
          <w:r>
            <w:drawing>
              <wp:inline xmlns:a="http://schemas.openxmlformats.org/drawingml/2006/main" xmlns:pic="http://schemas.openxmlformats.org/drawingml/2006/picture">
                <wp:extent cx="2160000" cy="36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dark-tex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0" cy="36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35"/>
        </w:tcPr>
        <w:p>
          <w:pPr>
            <w:jc w:val="right"/>
          </w:pPr>
          <w:r/>
          <w:r>
            <w:rPr>
              <w:rFonts w:ascii="Plus Jakarta Sans" w:hAnsi="Plus Jakarta Sans"/>
              <w:b/>
              <w:color w:val="94A3B8"/>
              <w:sz w:val="18"/>
            </w:rPr>
            <w:t>ANGEBOT / DOKUMENT</w:t>
          </w:r>
        </w:p>
      </w:tc>
    </w:tr>
  </w:tbl>
  <w:p>
    <w:pPr>
      <w:spacing w:before="40" w:after="0"/>
      <w:pBdr>
        <w:bottom w:val="single" w:sz="16" w:space="1" w:color="F8A923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lus Jakarta Sans" w:hAnsi="Plus Jakarta Sans" w:cs="Plus Jakarta Sans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CKicker">
    <w:name w:val="PC Kicker"/>
    <w:pPr>
      <w:spacing w:before="0" w:after="80"/>
    </w:pPr>
    <w:rPr>
      <w:rFonts w:ascii="Plus Jakarta Sans" w:hAnsi="Plus Jakarta Sans" w:cs="Plus Jakarta Sans"/>
      <w:b/>
      <w:color w:val="94A3B8"/>
      <w:sz w:val="18"/>
    </w:rPr>
  </w:style>
  <w:style w:type="paragraph" w:customStyle="1" w:styleId="PCH1">
    <w:name w:val="PC H1"/>
    <w:pPr>
      <w:spacing w:before="0" w:after="240"/>
    </w:pPr>
    <w:rPr>
      <w:rFonts w:ascii="Barlow Condensed" w:hAnsi="Barlow Condensed" w:cs="Barlow Condensed"/>
      <w:b/>
      <w:color w:val="0F172A"/>
      <w:sz w:val="84"/>
    </w:rPr>
  </w:style>
  <w:style w:type="paragraph" w:customStyle="1" w:styleId="PCH2">
    <w:name w:val="PC H2"/>
    <w:pPr>
      <w:spacing w:before="360" w:after="160"/>
    </w:pPr>
    <w:rPr>
      <w:rFonts w:ascii="Barlow Condensed" w:hAnsi="Barlow Condensed" w:cs="Barlow Condensed"/>
      <w:b/>
      <w:color w:val="0F172A"/>
      <w:sz w:val="56"/>
    </w:rPr>
  </w:style>
  <w:style w:type="paragraph" w:customStyle="1" w:styleId="PCH3">
    <w:name w:val="PC H3"/>
    <w:pPr>
      <w:spacing w:before="280" w:after="120"/>
    </w:pPr>
    <w:rPr>
      <w:rFonts w:ascii="Barlow Condensed" w:hAnsi="Barlow Condensed" w:cs="Barlow Condensed"/>
      <w:b/>
      <w:color w:val="0F172A"/>
      <w:sz w:val="40"/>
    </w:rPr>
  </w:style>
  <w:style w:type="paragraph" w:customStyle="1" w:styleId="PCLead">
    <w:name w:val="PC Lead"/>
    <w:pPr>
      <w:spacing w:before="0" w:after="240"/>
    </w:pPr>
    <w:rPr>
      <w:rFonts w:ascii="Plus Jakarta Sans" w:hAnsi="Plus Jakarta Sans" w:cs="Plus Jakarta Sans"/>
      <w:b w:val="0"/>
      <w:color w:val="475569"/>
      <w:sz w:val="26"/>
    </w:rPr>
  </w:style>
  <w:style w:type="paragraph" w:customStyle="1" w:styleId="PCBody">
    <w:name w:val="PC Body"/>
    <w:pPr>
      <w:spacing w:before="120" w:after="120"/>
    </w:pPr>
    <w:rPr>
      <w:rFonts w:ascii="Plus Jakarta Sans" w:hAnsi="Plus Jakarta Sans" w:cs="Plus Jakarta Sans"/>
      <w:b w:val="0"/>
      <w:color w:val="0F172A"/>
      <w:sz w:val="22"/>
    </w:rPr>
  </w:style>
  <w:style w:type="paragraph" w:customStyle="1" w:styleId="PCCallout">
    <w:name w:val="PC Callout"/>
    <w:pPr>
      <w:spacing w:before="120" w:after="120"/>
    </w:pPr>
    <w:rPr>
      <w:rFonts w:ascii="Plus Jakarta Sans" w:hAnsi="Plus Jakarta Sans" w:cs="Plus Jakarta Sans"/>
      <w:b/>
      <w:color w:val="F8A923"/>
      <w:sz w:val="22"/>
    </w:rPr>
  </w:style>
  <w:style w:type="paragraph" w:customStyle="1" w:styleId="PCMeta">
    <w:name w:val="PC Meta"/>
    <w:pPr>
      <w:spacing w:before="0" w:after="0"/>
    </w:pPr>
    <w:rPr>
      <w:rFonts w:ascii="Plus Jakarta Sans" w:hAnsi="Plus Jakarta Sans" w:cs="Plus Jakarta Sans"/>
      <w:b w:val="0"/>
      <w:color w:val="475569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